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321"/>
        <w:tblW w:w="11239" w:type="dxa"/>
        <w:tblInd w:w="0" w:type="dxa"/>
        <w:tblCellMar>
          <w:top w:w="685" w:type="dxa"/>
          <w:left w:w="939" w:type="dxa"/>
          <w:right w:w="115" w:type="dxa"/>
        </w:tblCellMar>
        <w:tblLook w:val="04A0" w:firstRow="1" w:lastRow="0" w:firstColumn="1" w:lastColumn="0" w:noHBand="0" w:noVBand="1"/>
      </w:tblPr>
      <w:tblGrid>
        <w:gridCol w:w="11239"/>
      </w:tblGrid>
      <w:tr w:rsidR="00ED1B53" w14:paraId="34D329F3" w14:textId="77777777" w:rsidTr="008545A3">
        <w:trPr>
          <w:trHeight w:val="13497"/>
        </w:trPr>
        <w:tc>
          <w:tcPr>
            <w:tcW w:w="11239" w:type="dxa"/>
            <w:tcBorders>
              <w:top w:val="single" w:sz="17" w:space="0" w:color="000000"/>
              <w:left w:val="single" w:sz="17" w:space="0" w:color="000000"/>
              <w:bottom w:val="single" w:sz="17" w:space="0" w:color="000000"/>
              <w:right w:val="single" w:sz="17" w:space="0" w:color="000000"/>
            </w:tcBorders>
          </w:tcPr>
          <w:p w14:paraId="2E97E135" w14:textId="77777777" w:rsidR="004F1A79" w:rsidRPr="004F1A79" w:rsidRDefault="004F1A79" w:rsidP="004F1A79">
            <w:pPr>
              <w:jc w:val="center"/>
              <w:rPr>
                <w:rFonts w:ascii="Georgia" w:hAnsi="Georgia"/>
                <w:b/>
                <w:sz w:val="23"/>
                <w:szCs w:val="23"/>
              </w:rPr>
            </w:pPr>
            <w:bookmarkStart w:id="0" w:name="_GoBack"/>
            <w:bookmarkEnd w:id="0"/>
            <w:r w:rsidRPr="004F1A79">
              <w:rPr>
                <w:rFonts w:ascii="Georgia" w:eastAsia="Georgia" w:hAnsi="Georgia" w:cs="Georgia"/>
                <w:b/>
              </w:rPr>
              <w:t>CLS*930*V01</w:t>
            </w:r>
          </w:p>
          <w:p w14:paraId="13A7693A" w14:textId="77777777" w:rsidR="004F1A79" w:rsidRPr="004F1A79" w:rsidRDefault="004F1A79" w:rsidP="004F1A79">
            <w:pPr>
              <w:jc w:val="center"/>
              <w:rPr>
                <w:rFonts w:ascii="Georgia" w:hAnsi="Georgia"/>
                <w:b/>
                <w:sz w:val="23"/>
                <w:szCs w:val="23"/>
              </w:rPr>
            </w:pPr>
            <w:r w:rsidRPr="004F1A79">
              <w:rPr>
                <w:rFonts w:ascii="Georgia" w:eastAsia="Georgia" w:hAnsi="Georgia" w:cs="Georgia"/>
                <w:b/>
              </w:rPr>
              <w:t>Diversity Experience</w:t>
            </w:r>
          </w:p>
          <w:p w14:paraId="187C87AD" w14:textId="77777777" w:rsidR="004F1A79" w:rsidRDefault="004F1A79" w:rsidP="004F1A79">
            <w:pPr>
              <w:jc w:val="center"/>
              <w:rPr>
                <w:rFonts w:ascii="Georgia" w:hAnsi="Georgia"/>
                <w:b/>
                <w:sz w:val="23"/>
                <w:szCs w:val="23"/>
              </w:rPr>
            </w:pPr>
            <w:r>
              <w:rPr>
                <w:rFonts w:ascii="Georgia" w:hAnsi="Georgia"/>
                <w:b/>
                <w:sz w:val="23"/>
                <w:szCs w:val="23"/>
              </w:rPr>
              <w:t>Spring 202</w:t>
            </w:r>
            <w:r w:rsidR="00D274E5">
              <w:rPr>
                <w:rFonts w:ascii="Georgia" w:hAnsi="Georgia"/>
                <w:b/>
                <w:sz w:val="23"/>
                <w:szCs w:val="23"/>
              </w:rPr>
              <w:t>3</w:t>
            </w:r>
          </w:p>
          <w:p w14:paraId="7C6DB4C3" w14:textId="77777777" w:rsidR="004F1A79" w:rsidRPr="004F1A79" w:rsidRDefault="004F1A79" w:rsidP="004F1A79">
            <w:pPr>
              <w:spacing w:after="156"/>
              <w:jc w:val="center"/>
              <w:rPr>
                <w:b/>
              </w:rPr>
            </w:pPr>
            <w:r w:rsidRPr="004F1A79">
              <w:rPr>
                <w:rFonts w:ascii="Georgia" w:eastAsia="Georgia" w:hAnsi="Georgia" w:cs="Georgia"/>
                <w:b/>
              </w:rPr>
              <w:t>Course Dates: 3/2</w:t>
            </w:r>
            <w:r w:rsidR="00D274E5">
              <w:rPr>
                <w:rFonts w:ascii="Georgia" w:eastAsia="Georgia" w:hAnsi="Georgia" w:cs="Georgia"/>
                <w:b/>
              </w:rPr>
              <w:t>4</w:t>
            </w:r>
            <w:r w:rsidRPr="004F1A79">
              <w:rPr>
                <w:rFonts w:ascii="Georgia" w:eastAsia="Georgia" w:hAnsi="Georgia" w:cs="Georgia"/>
                <w:b/>
              </w:rPr>
              <w:t>/202</w:t>
            </w:r>
            <w:r w:rsidR="00D274E5">
              <w:rPr>
                <w:rFonts w:ascii="Georgia" w:eastAsia="Georgia" w:hAnsi="Georgia" w:cs="Georgia"/>
                <w:b/>
              </w:rPr>
              <w:t>3</w:t>
            </w:r>
            <w:r w:rsidRPr="004F1A79">
              <w:rPr>
                <w:rFonts w:ascii="Georgia" w:eastAsia="Georgia" w:hAnsi="Georgia" w:cs="Georgia"/>
                <w:b/>
              </w:rPr>
              <w:t>– 5/1</w:t>
            </w:r>
            <w:r w:rsidR="00D274E5">
              <w:rPr>
                <w:rFonts w:ascii="Georgia" w:eastAsia="Georgia" w:hAnsi="Georgia" w:cs="Georgia"/>
                <w:b/>
              </w:rPr>
              <w:t>8</w:t>
            </w:r>
            <w:r w:rsidRPr="004F1A79">
              <w:rPr>
                <w:rFonts w:ascii="Georgia" w:eastAsia="Georgia" w:hAnsi="Georgia" w:cs="Georgia"/>
                <w:b/>
              </w:rPr>
              <w:t>/202</w:t>
            </w:r>
            <w:r w:rsidR="00D274E5">
              <w:rPr>
                <w:rFonts w:ascii="Georgia" w:eastAsia="Georgia" w:hAnsi="Georgia" w:cs="Georgia"/>
                <w:b/>
              </w:rPr>
              <w:t>3</w:t>
            </w:r>
          </w:p>
          <w:p w14:paraId="17BC9088" w14:textId="77777777" w:rsidR="004F1A79" w:rsidRPr="00F9461C" w:rsidRDefault="004F1A79" w:rsidP="004F1A79">
            <w:pPr>
              <w:jc w:val="center"/>
              <w:rPr>
                <w:rFonts w:ascii="Georgia" w:hAnsi="Georgia"/>
                <w:b/>
                <w:sz w:val="23"/>
                <w:szCs w:val="23"/>
              </w:rPr>
            </w:pPr>
          </w:p>
          <w:p w14:paraId="38017644" w14:textId="77777777" w:rsidR="004F1A79" w:rsidRPr="00F9461C" w:rsidRDefault="004F1A79" w:rsidP="004F1A79">
            <w:pPr>
              <w:jc w:val="center"/>
              <w:rPr>
                <w:rFonts w:ascii="Georgia" w:hAnsi="Georgia"/>
                <w:b/>
                <w:bCs/>
                <w:color w:val="7030A0"/>
                <w:sz w:val="23"/>
                <w:szCs w:val="23"/>
              </w:rPr>
            </w:pPr>
          </w:p>
          <w:p w14:paraId="2B22E5C5" w14:textId="77777777" w:rsidR="004F1A79" w:rsidRPr="00F9461C" w:rsidRDefault="004F1A79" w:rsidP="004F1A79">
            <w:pPr>
              <w:rPr>
                <w:rFonts w:ascii="Georgia" w:hAnsi="Georgia"/>
                <w:b/>
                <w:bCs/>
                <w:sz w:val="23"/>
                <w:szCs w:val="23"/>
              </w:rPr>
            </w:pPr>
            <w:r w:rsidRPr="00F9461C">
              <w:rPr>
                <w:rFonts w:ascii="Georgia" w:hAnsi="Georgia"/>
                <w:b/>
                <w:bCs/>
                <w:sz w:val="23"/>
                <w:szCs w:val="23"/>
              </w:rPr>
              <w:t>COURSE INFORMATION</w:t>
            </w:r>
          </w:p>
          <w:tbl>
            <w:tblPr>
              <w:tblW w:w="10170" w:type="dxa"/>
              <w:tblLook w:val="0000" w:firstRow="0" w:lastRow="0" w:firstColumn="0" w:lastColumn="0" w:noHBand="0" w:noVBand="0"/>
            </w:tblPr>
            <w:tblGrid>
              <w:gridCol w:w="2880"/>
              <w:gridCol w:w="7290"/>
            </w:tblGrid>
            <w:tr w:rsidR="004F1A79" w:rsidRPr="00F9461C" w14:paraId="4073730E" w14:textId="77777777" w:rsidTr="00E75DDD">
              <w:trPr>
                <w:cantSplit/>
                <w:trHeight w:val="288"/>
              </w:trPr>
              <w:tc>
                <w:tcPr>
                  <w:tcW w:w="10170" w:type="dxa"/>
                  <w:gridSpan w:val="2"/>
                  <w:tcBorders>
                    <w:top w:val="nil"/>
                    <w:left w:val="nil"/>
                    <w:bottom w:val="nil"/>
                    <w:right w:val="nil"/>
                  </w:tcBorders>
                </w:tcPr>
                <w:p w14:paraId="74D592F3" w14:textId="77777777" w:rsidR="004F1A79" w:rsidRPr="00F9461C" w:rsidRDefault="004F1A79" w:rsidP="009C44CF">
                  <w:pPr>
                    <w:framePr w:hSpace="180" w:wrap="around" w:vAnchor="text" w:hAnchor="margin" w:xAlign="center" w:y="-321"/>
                    <w:rPr>
                      <w:rFonts w:ascii="Georgia" w:hAnsi="Georgia"/>
                      <w:bCs/>
                      <w:sz w:val="23"/>
                      <w:szCs w:val="23"/>
                    </w:rPr>
                  </w:pPr>
                  <w:r w:rsidRPr="00F9461C">
                    <w:rPr>
                      <w:rFonts w:ascii="Georgia" w:hAnsi="Georgia"/>
                      <w:b/>
                      <w:bCs/>
                      <w:sz w:val="23"/>
                      <w:szCs w:val="23"/>
                    </w:rPr>
                    <w:t xml:space="preserve">Instructor: </w:t>
                  </w:r>
                  <w:r w:rsidRPr="00F9461C">
                    <w:rPr>
                      <w:rFonts w:ascii="Georgia" w:hAnsi="Georgia"/>
                      <w:bCs/>
                      <w:sz w:val="23"/>
                      <w:szCs w:val="23"/>
                    </w:rPr>
                    <w:t>Heather Davison</w:t>
                  </w:r>
                </w:p>
              </w:tc>
            </w:tr>
            <w:tr w:rsidR="004F1A79" w:rsidRPr="00F9461C" w14:paraId="4D04F486" w14:textId="77777777" w:rsidTr="004C1E77">
              <w:trPr>
                <w:cantSplit/>
                <w:trHeight w:val="385"/>
              </w:trPr>
              <w:tc>
                <w:tcPr>
                  <w:tcW w:w="10170" w:type="dxa"/>
                  <w:gridSpan w:val="2"/>
                  <w:tcBorders>
                    <w:top w:val="nil"/>
                    <w:left w:val="nil"/>
                    <w:bottom w:val="nil"/>
                    <w:right w:val="nil"/>
                  </w:tcBorders>
                </w:tcPr>
                <w:p w14:paraId="2811C6D0" w14:textId="77777777" w:rsidR="004F1A79" w:rsidRPr="00F9461C" w:rsidRDefault="004F1A79" w:rsidP="009C44CF">
                  <w:pPr>
                    <w:framePr w:hSpace="180" w:wrap="around" w:vAnchor="text" w:hAnchor="margin" w:xAlign="center" w:y="-321"/>
                    <w:rPr>
                      <w:rFonts w:ascii="Georgia" w:hAnsi="Georgia" w:cs="Arial"/>
                      <w:bCs/>
                      <w:sz w:val="23"/>
                      <w:szCs w:val="23"/>
                    </w:rPr>
                  </w:pPr>
                  <w:r w:rsidRPr="00F9461C">
                    <w:rPr>
                      <w:rFonts w:ascii="Georgia" w:hAnsi="Georgia" w:cs="Arial"/>
                      <w:b/>
                      <w:bCs/>
                      <w:sz w:val="23"/>
                      <w:szCs w:val="23"/>
                    </w:rPr>
                    <w:t xml:space="preserve">Class Location: </w:t>
                  </w:r>
                  <w:r>
                    <w:rPr>
                      <w:rFonts w:ascii="Georgia" w:hAnsi="Georgia" w:cs="Arial"/>
                      <w:b/>
                      <w:bCs/>
                      <w:sz w:val="23"/>
                      <w:szCs w:val="23"/>
                    </w:rPr>
                    <w:t>Online</w:t>
                  </w:r>
                </w:p>
              </w:tc>
            </w:tr>
            <w:tr w:rsidR="004F1A79" w:rsidRPr="00F9461C" w14:paraId="0963E81C" w14:textId="77777777" w:rsidTr="00B74072">
              <w:trPr>
                <w:cantSplit/>
              </w:trPr>
              <w:tc>
                <w:tcPr>
                  <w:tcW w:w="10170" w:type="dxa"/>
                  <w:gridSpan w:val="2"/>
                  <w:tcBorders>
                    <w:top w:val="nil"/>
                    <w:left w:val="nil"/>
                    <w:bottom w:val="nil"/>
                    <w:right w:val="nil"/>
                  </w:tcBorders>
                </w:tcPr>
                <w:p w14:paraId="5225A626" w14:textId="77777777" w:rsidR="004F1A79" w:rsidRPr="00E75DDD" w:rsidRDefault="004F1A79" w:rsidP="009C44CF">
                  <w:pPr>
                    <w:framePr w:hSpace="180" w:wrap="around" w:vAnchor="text" w:hAnchor="margin" w:xAlign="center" w:y="-321"/>
                    <w:spacing w:line="256" w:lineRule="auto"/>
                    <w:ind w:right="786"/>
                  </w:pPr>
                  <w:r w:rsidRPr="00F9461C">
                    <w:rPr>
                      <w:rFonts w:ascii="Georgia" w:hAnsi="Georgia" w:cs="Arial"/>
                      <w:b/>
                      <w:bCs/>
                      <w:sz w:val="23"/>
                      <w:szCs w:val="23"/>
                    </w:rPr>
                    <w:t xml:space="preserve">Time: </w:t>
                  </w:r>
                  <w:r>
                    <w:rPr>
                      <w:rFonts w:ascii="Georgia" w:eastAsia="Georgia" w:hAnsi="Georgia" w:cs="Georgia"/>
                    </w:rPr>
                    <w:t xml:space="preserve"> </w:t>
                  </w:r>
                  <w:r w:rsidR="00E75DDD">
                    <w:rPr>
                      <w:rFonts w:ascii="Georgia" w:eastAsia="Georgia" w:hAnsi="Georgia" w:cs="Georgia"/>
                    </w:rPr>
                    <w:t xml:space="preserve"> Attendance at Diversity Conference (3/2</w:t>
                  </w:r>
                  <w:r w:rsidR="00D274E5">
                    <w:rPr>
                      <w:rFonts w:ascii="Georgia" w:eastAsia="Georgia" w:hAnsi="Georgia" w:cs="Georgia"/>
                    </w:rPr>
                    <w:t>4</w:t>
                  </w:r>
                  <w:r w:rsidR="00E75DDD">
                    <w:rPr>
                      <w:rFonts w:ascii="Georgia" w:eastAsia="Georgia" w:hAnsi="Georgia" w:cs="Georgia"/>
                    </w:rPr>
                    <w:t>/202</w:t>
                  </w:r>
                  <w:r w:rsidR="00D274E5">
                    <w:rPr>
                      <w:rFonts w:ascii="Georgia" w:eastAsia="Georgia" w:hAnsi="Georgia" w:cs="Georgia"/>
                    </w:rPr>
                    <w:t>3</w:t>
                  </w:r>
                  <w:r w:rsidR="00E75DDD">
                    <w:rPr>
                      <w:rFonts w:ascii="Georgia" w:eastAsia="Georgia" w:hAnsi="Georgia" w:cs="Georgia"/>
                    </w:rPr>
                    <w:t xml:space="preserve">) or approved diversity events, as well as online discussions throughout the course dates. To register for the Diversity Conference, please go to </w:t>
                  </w:r>
                  <w:hyperlink r:id="rId8">
                    <w:r w:rsidR="00E75DDD">
                      <w:rPr>
                        <w:rFonts w:ascii="Georgia" w:eastAsia="Georgia" w:hAnsi="Georgia" w:cs="Georgia"/>
                        <w:color w:val="0563C1"/>
                        <w:u w:val="single" w:color="0563C1"/>
                      </w:rPr>
                      <w:t>www.indianhills.edu/diversity</w:t>
                    </w:r>
                  </w:hyperlink>
                  <w:hyperlink r:id="rId9">
                    <w:r w:rsidR="00E75DDD">
                      <w:rPr>
                        <w:rFonts w:ascii="Georgia" w:eastAsia="Georgia" w:hAnsi="Georgia" w:cs="Georgia"/>
                      </w:rPr>
                      <w:t xml:space="preserve"> </w:t>
                    </w:r>
                  </w:hyperlink>
                  <w:r w:rsidR="00E75DDD">
                    <w:rPr>
                      <w:rFonts w:ascii="Georgia" w:eastAsia="Georgia" w:hAnsi="Georgia" w:cs="Georgia"/>
                    </w:rPr>
                    <w:t xml:space="preserve">to complete the conference online registration form and pay the conference fee (in addition to tuition fee; see details on webpage). </w:t>
                  </w:r>
                </w:p>
              </w:tc>
            </w:tr>
            <w:tr w:rsidR="004C1E77" w:rsidRPr="00F9461C" w14:paraId="5FE2AA32" w14:textId="77777777" w:rsidTr="004C1E77">
              <w:trPr>
                <w:cantSplit/>
                <w:trHeight w:val="331"/>
              </w:trPr>
              <w:tc>
                <w:tcPr>
                  <w:tcW w:w="2880" w:type="dxa"/>
                  <w:tcBorders>
                    <w:top w:val="nil"/>
                    <w:left w:val="nil"/>
                    <w:bottom w:val="nil"/>
                    <w:right w:val="nil"/>
                  </w:tcBorders>
                </w:tcPr>
                <w:p w14:paraId="7EDCF9F4" w14:textId="18565DDD" w:rsidR="004C1E77" w:rsidRPr="00F9461C" w:rsidRDefault="004C1E77" w:rsidP="009C44CF">
                  <w:pPr>
                    <w:framePr w:hSpace="180" w:wrap="around" w:vAnchor="text" w:hAnchor="margin" w:xAlign="center" w:y="-321"/>
                    <w:rPr>
                      <w:rFonts w:ascii="Georgia" w:hAnsi="Georgia"/>
                      <w:b/>
                      <w:bCs/>
                      <w:sz w:val="23"/>
                      <w:szCs w:val="23"/>
                    </w:rPr>
                  </w:pPr>
                  <w:r>
                    <w:rPr>
                      <w:rFonts w:ascii="Georgia" w:hAnsi="Georgia"/>
                      <w:b/>
                      <w:bCs/>
                      <w:sz w:val="23"/>
                      <w:szCs w:val="23"/>
                    </w:rPr>
                    <w:t>Office Location</w:t>
                  </w:r>
                </w:p>
              </w:tc>
              <w:tc>
                <w:tcPr>
                  <w:tcW w:w="7290" w:type="dxa"/>
                  <w:tcBorders>
                    <w:top w:val="nil"/>
                    <w:left w:val="nil"/>
                    <w:bottom w:val="nil"/>
                    <w:right w:val="nil"/>
                  </w:tcBorders>
                </w:tcPr>
                <w:p w14:paraId="7E6E132D" w14:textId="70AC3977" w:rsidR="004C1E77" w:rsidRDefault="004C1E77" w:rsidP="009C44CF">
                  <w:pPr>
                    <w:framePr w:hSpace="180" w:wrap="around" w:vAnchor="text" w:hAnchor="margin" w:xAlign="center" w:y="-321"/>
                    <w:rPr>
                      <w:rFonts w:ascii="Georgia" w:hAnsi="Georgia"/>
                      <w:bCs/>
                      <w:sz w:val="23"/>
                      <w:szCs w:val="23"/>
                    </w:rPr>
                  </w:pPr>
                  <w:r>
                    <w:rPr>
                      <w:rFonts w:ascii="Georgia" w:hAnsi="Georgia"/>
                      <w:bCs/>
                      <w:sz w:val="23"/>
                      <w:szCs w:val="23"/>
                    </w:rPr>
                    <w:t>105 Arts &amp; Sciences Complex, Ottumwa</w:t>
                  </w:r>
                </w:p>
              </w:tc>
            </w:tr>
            <w:tr w:rsidR="004F1A79" w:rsidRPr="00F9461C" w14:paraId="22B0DAF5" w14:textId="77777777" w:rsidTr="00B74072">
              <w:trPr>
                <w:cantSplit/>
              </w:trPr>
              <w:tc>
                <w:tcPr>
                  <w:tcW w:w="2880" w:type="dxa"/>
                  <w:tcBorders>
                    <w:top w:val="nil"/>
                    <w:left w:val="nil"/>
                    <w:bottom w:val="nil"/>
                    <w:right w:val="nil"/>
                  </w:tcBorders>
                </w:tcPr>
                <w:p w14:paraId="58CC27A7" w14:textId="0F89DC70" w:rsidR="004F1A79" w:rsidRPr="00F9461C" w:rsidRDefault="004F1A79" w:rsidP="009C44CF">
                  <w:pPr>
                    <w:framePr w:hSpace="180" w:wrap="around" w:vAnchor="text" w:hAnchor="margin" w:xAlign="center" w:y="-321"/>
                    <w:rPr>
                      <w:rFonts w:ascii="Georgia" w:hAnsi="Georgia"/>
                      <w:b/>
                      <w:bCs/>
                      <w:sz w:val="23"/>
                      <w:szCs w:val="23"/>
                    </w:rPr>
                  </w:pPr>
                  <w:r w:rsidRPr="00F9461C">
                    <w:rPr>
                      <w:rFonts w:ascii="Georgia" w:hAnsi="Georgia"/>
                      <w:b/>
                      <w:bCs/>
                      <w:sz w:val="23"/>
                      <w:szCs w:val="23"/>
                    </w:rPr>
                    <w:t xml:space="preserve">Office Hours </w:t>
                  </w:r>
                </w:p>
              </w:tc>
              <w:tc>
                <w:tcPr>
                  <w:tcW w:w="7290" w:type="dxa"/>
                  <w:tcBorders>
                    <w:top w:val="nil"/>
                    <w:left w:val="nil"/>
                    <w:bottom w:val="nil"/>
                    <w:right w:val="nil"/>
                  </w:tcBorders>
                </w:tcPr>
                <w:p w14:paraId="72F7CF25" w14:textId="77777777" w:rsidR="004F1A79" w:rsidRPr="004C1E77" w:rsidRDefault="004C1E77" w:rsidP="009C44CF">
                  <w:pPr>
                    <w:pStyle w:val="NoSpacing"/>
                    <w:framePr w:hSpace="180" w:wrap="around" w:vAnchor="text" w:hAnchor="margin" w:xAlign="center" w:y="-321"/>
                    <w:rPr>
                      <w:rFonts w:ascii="Georgia" w:hAnsi="Georgia"/>
                    </w:rPr>
                  </w:pPr>
                  <w:r w:rsidRPr="004C1E77">
                    <w:rPr>
                      <w:rFonts w:ascii="Georgia" w:hAnsi="Georgia"/>
                    </w:rPr>
                    <w:t xml:space="preserve">MW </w:t>
                  </w:r>
                  <w:r w:rsidR="004F1A79" w:rsidRPr="004C1E77">
                    <w:rPr>
                      <w:rFonts w:ascii="Georgia" w:hAnsi="Georgia"/>
                    </w:rPr>
                    <w:t>noon-12:30</w:t>
                  </w:r>
                  <w:proofErr w:type="gramStart"/>
                  <w:r w:rsidR="004F1A79" w:rsidRPr="004C1E77">
                    <w:rPr>
                      <w:rFonts w:ascii="Georgia" w:hAnsi="Georgia"/>
                    </w:rPr>
                    <w:t xml:space="preserve">; </w:t>
                  </w:r>
                  <w:r w:rsidRPr="004C1E77">
                    <w:rPr>
                      <w:rFonts w:ascii="Georgia" w:hAnsi="Georgia"/>
                    </w:rPr>
                    <w:t xml:space="preserve"> </w:t>
                  </w:r>
                  <w:proofErr w:type="spellStart"/>
                  <w:r w:rsidRPr="004C1E77">
                    <w:rPr>
                      <w:rFonts w:ascii="Georgia" w:hAnsi="Georgia"/>
                    </w:rPr>
                    <w:t>TTh</w:t>
                  </w:r>
                  <w:proofErr w:type="spellEnd"/>
                  <w:proofErr w:type="gramEnd"/>
                  <w:r w:rsidRPr="004C1E77">
                    <w:rPr>
                      <w:rFonts w:ascii="Georgia" w:hAnsi="Georgia"/>
                    </w:rPr>
                    <w:t xml:space="preserve"> </w:t>
                  </w:r>
                  <w:r w:rsidR="004F1A79" w:rsidRPr="004C1E77">
                    <w:rPr>
                      <w:rFonts w:ascii="Georgia" w:hAnsi="Georgia"/>
                    </w:rPr>
                    <w:t>1:30-3:30 &amp; by appt</w:t>
                  </w:r>
                  <w:r w:rsidR="00B21756" w:rsidRPr="004C1E77">
                    <w:rPr>
                      <w:rFonts w:ascii="Georgia" w:hAnsi="Georgia"/>
                    </w:rPr>
                    <w:t xml:space="preserve">. </w:t>
                  </w:r>
                </w:p>
                <w:p w14:paraId="2B1A1553" w14:textId="521A7BBD" w:rsidR="004C1E77" w:rsidRPr="004C1E77" w:rsidRDefault="004C1E77" w:rsidP="009C44CF">
                  <w:pPr>
                    <w:pStyle w:val="NoSpacing"/>
                    <w:framePr w:hSpace="180" w:wrap="around" w:vAnchor="text" w:hAnchor="margin" w:xAlign="center" w:y="-321"/>
                  </w:pPr>
                  <w:r w:rsidRPr="004C1E77">
                    <w:rPr>
                      <w:rFonts w:ascii="Georgia" w:hAnsi="Georgia"/>
                    </w:rPr>
                    <w:t>I am also available to meet via Zoom</w:t>
                  </w:r>
                </w:p>
              </w:tc>
            </w:tr>
            <w:tr w:rsidR="004F1A79" w:rsidRPr="00F9461C" w14:paraId="4AE00FB4" w14:textId="77777777" w:rsidTr="00B74072">
              <w:trPr>
                <w:cantSplit/>
              </w:trPr>
              <w:tc>
                <w:tcPr>
                  <w:tcW w:w="10170" w:type="dxa"/>
                  <w:gridSpan w:val="2"/>
                  <w:tcBorders>
                    <w:top w:val="nil"/>
                    <w:left w:val="nil"/>
                    <w:bottom w:val="nil"/>
                    <w:right w:val="nil"/>
                  </w:tcBorders>
                </w:tcPr>
                <w:p w14:paraId="75CCBF9E" w14:textId="7FBF94E2" w:rsidR="004F1A79" w:rsidRPr="00F9461C" w:rsidRDefault="004F1A79" w:rsidP="009C44CF">
                  <w:pPr>
                    <w:framePr w:hSpace="180" w:wrap="around" w:vAnchor="text" w:hAnchor="margin" w:xAlign="center" w:y="-321"/>
                    <w:rPr>
                      <w:rFonts w:ascii="Georgia" w:hAnsi="Georgia"/>
                      <w:b/>
                      <w:bCs/>
                      <w:sz w:val="23"/>
                      <w:szCs w:val="23"/>
                    </w:rPr>
                  </w:pPr>
                  <w:r w:rsidRPr="00F9461C">
                    <w:rPr>
                      <w:rFonts w:ascii="Georgia" w:hAnsi="Georgia"/>
                      <w:b/>
                      <w:bCs/>
                      <w:sz w:val="23"/>
                      <w:szCs w:val="23"/>
                    </w:rPr>
                    <w:t xml:space="preserve">Phone:  </w:t>
                  </w:r>
                  <w:r w:rsidRPr="00F9461C">
                    <w:rPr>
                      <w:rFonts w:ascii="Georgia" w:hAnsi="Georgia"/>
                      <w:bCs/>
                      <w:sz w:val="23"/>
                      <w:szCs w:val="23"/>
                    </w:rPr>
                    <w:t xml:space="preserve">Off-Campus: (641) 683-5111 ext. </w:t>
                  </w:r>
                  <w:r w:rsidRPr="00F9461C">
                    <w:rPr>
                      <w:rFonts w:ascii="Georgia" w:hAnsi="Georgia"/>
                      <w:sz w:val="23"/>
                      <w:szCs w:val="23"/>
                    </w:rPr>
                    <w:t xml:space="preserve">1813.  On Campus: dial 1813 Email is </w:t>
                  </w:r>
                  <w:r w:rsidR="004C1E77">
                    <w:rPr>
                      <w:rFonts w:ascii="Georgia" w:hAnsi="Georgia"/>
                      <w:sz w:val="23"/>
                      <w:szCs w:val="23"/>
                    </w:rPr>
                    <w:t xml:space="preserve">usually </w:t>
                  </w:r>
                  <w:r w:rsidRPr="00F9461C">
                    <w:rPr>
                      <w:rFonts w:ascii="Georgia" w:hAnsi="Georgia"/>
                      <w:sz w:val="23"/>
                      <w:szCs w:val="23"/>
                    </w:rPr>
                    <w:t xml:space="preserve">the best and quickest way to reach me. </w:t>
                  </w:r>
                </w:p>
              </w:tc>
            </w:tr>
            <w:tr w:rsidR="004F1A79" w:rsidRPr="00F9461C" w14:paraId="459F30F8" w14:textId="77777777" w:rsidTr="00B74072">
              <w:trPr>
                <w:cantSplit/>
              </w:trPr>
              <w:tc>
                <w:tcPr>
                  <w:tcW w:w="10170" w:type="dxa"/>
                  <w:gridSpan w:val="2"/>
                  <w:tcBorders>
                    <w:top w:val="nil"/>
                    <w:left w:val="nil"/>
                    <w:bottom w:val="nil"/>
                    <w:right w:val="nil"/>
                  </w:tcBorders>
                </w:tcPr>
                <w:p w14:paraId="10C7373F" w14:textId="77777777" w:rsidR="004F1A79" w:rsidRPr="00F9461C" w:rsidRDefault="004F1A79" w:rsidP="009C44CF">
                  <w:pPr>
                    <w:framePr w:hSpace="180" w:wrap="around" w:vAnchor="text" w:hAnchor="margin" w:xAlign="center" w:y="-321"/>
                    <w:rPr>
                      <w:rFonts w:ascii="Georgia" w:hAnsi="Georgia"/>
                      <w:b/>
                      <w:bCs/>
                      <w:sz w:val="23"/>
                      <w:szCs w:val="23"/>
                    </w:rPr>
                  </w:pPr>
                  <w:r w:rsidRPr="00F9461C">
                    <w:rPr>
                      <w:rFonts w:ascii="Georgia" w:hAnsi="Georgia"/>
                      <w:b/>
                      <w:bCs/>
                      <w:sz w:val="23"/>
                      <w:szCs w:val="23"/>
                    </w:rPr>
                    <w:t>Email:</w:t>
                  </w:r>
                  <w:r>
                    <w:rPr>
                      <w:rFonts w:ascii="Georgia" w:hAnsi="Georgia"/>
                      <w:b/>
                      <w:bCs/>
                      <w:sz w:val="23"/>
                      <w:szCs w:val="23"/>
                    </w:rPr>
                    <w:t xml:space="preserve"> </w:t>
                  </w:r>
                  <w:hyperlink r:id="rId10" w:history="1">
                    <w:r w:rsidRPr="006B75BE">
                      <w:rPr>
                        <w:rStyle w:val="Hyperlink"/>
                        <w:rFonts w:ascii="Georgia" w:hAnsi="Georgia"/>
                        <w:bCs/>
                        <w:sz w:val="23"/>
                        <w:szCs w:val="23"/>
                      </w:rPr>
                      <w:t>heather.davison@indianhills.edu</w:t>
                    </w:r>
                  </w:hyperlink>
                  <w:r>
                    <w:rPr>
                      <w:rFonts w:ascii="Georgia" w:hAnsi="Georgia"/>
                      <w:b/>
                      <w:bCs/>
                      <w:sz w:val="23"/>
                      <w:szCs w:val="23"/>
                    </w:rPr>
                    <w:t xml:space="preserve"> </w:t>
                  </w:r>
                  <w:r w:rsidRPr="00F9461C">
                    <w:rPr>
                      <w:rFonts w:ascii="Georgia" w:hAnsi="Georgia"/>
                      <w:bCs/>
                      <w:sz w:val="23"/>
                      <w:szCs w:val="23"/>
                    </w:rPr>
                    <w:t xml:space="preserve"> </w:t>
                  </w:r>
                </w:p>
              </w:tc>
            </w:tr>
          </w:tbl>
          <w:p w14:paraId="07268612" w14:textId="77777777" w:rsidR="00ED1B53" w:rsidRDefault="00ED1B53" w:rsidP="00ED1B53"/>
          <w:p w14:paraId="6BF20A32" w14:textId="77777777" w:rsidR="00E75DDD" w:rsidRDefault="00E75DDD" w:rsidP="00E75DDD">
            <w:pPr>
              <w:spacing w:after="159" w:line="256" w:lineRule="auto"/>
              <w:ind w:right="608"/>
            </w:pPr>
            <w:r>
              <w:rPr>
                <w:rFonts w:ascii="Georgia" w:eastAsia="Georgia" w:hAnsi="Georgia" w:cs="Georgia"/>
                <w:b/>
              </w:rPr>
              <w:t xml:space="preserve">Note: </w:t>
            </w:r>
            <w:r>
              <w:rPr>
                <w:rFonts w:ascii="Georgia" w:eastAsia="Georgia" w:hAnsi="Georgia" w:cs="Georgia"/>
              </w:rPr>
              <w:t>Because this course begins on March 2</w:t>
            </w:r>
            <w:r w:rsidR="00B21756">
              <w:rPr>
                <w:rFonts w:ascii="Georgia" w:eastAsia="Georgia" w:hAnsi="Georgia" w:cs="Georgia"/>
              </w:rPr>
              <w:t>4</w:t>
            </w:r>
            <w:r>
              <w:rPr>
                <w:rFonts w:ascii="Georgia" w:eastAsia="Georgia" w:hAnsi="Georgia" w:cs="Georgia"/>
              </w:rPr>
              <w:t>, 202</w:t>
            </w:r>
            <w:r w:rsidR="00B21756">
              <w:rPr>
                <w:rFonts w:ascii="Georgia" w:eastAsia="Georgia" w:hAnsi="Georgia" w:cs="Georgia"/>
              </w:rPr>
              <w:t>3</w:t>
            </w:r>
            <w:r>
              <w:rPr>
                <w:rFonts w:ascii="Georgia" w:eastAsia="Georgia" w:hAnsi="Georgia" w:cs="Georgia"/>
              </w:rPr>
              <w:t xml:space="preserve">, students can register by exception for this class after the </w:t>
            </w:r>
            <w:r w:rsidR="0097430D">
              <w:rPr>
                <w:rFonts w:ascii="Georgia" w:eastAsia="Georgia" w:hAnsi="Georgia" w:cs="Georgia"/>
              </w:rPr>
              <w:t>last day to a</w:t>
            </w:r>
            <w:r>
              <w:rPr>
                <w:rFonts w:ascii="Georgia" w:eastAsia="Georgia" w:hAnsi="Georgia" w:cs="Georgia"/>
              </w:rPr>
              <w:t xml:space="preserve">dd </w:t>
            </w:r>
            <w:r w:rsidR="00DB4B6C">
              <w:rPr>
                <w:rFonts w:ascii="Georgia" w:eastAsia="Georgia" w:hAnsi="Georgia" w:cs="Georgia"/>
              </w:rPr>
              <w:t>for the Spring 2023 term</w:t>
            </w:r>
            <w:r>
              <w:rPr>
                <w:rFonts w:ascii="Georgia" w:eastAsia="Georgia" w:hAnsi="Georgia" w:cs="Georgia"/>
              </w:rPr>
              <w:t xml:space="preserve">. </w:t>
            </w:r>
            <w:r w:rsidR="0097430D">
              <w:rPr>
                <w:rFonts w:ascii="Georgia" w:eastAsia="Georgia" w:hAnsi="Georgia" w:cs="Georgia"/>
              </w:rPr>
              <w:t>If you have q</w:t>
            </w:r>
            <w:r>
              <w:rPr>
                <w:rFonts w:ascii="Georgia" w:eastAsia="Georgia" w:hAnsi="Georgia" w:cs="Georgia"/>
              </w:rPr>
              <w:t>uestions regarding this class, please contact Heather Davison (</w:t>
            </w:r>
            <w:r>
              <w:rPr>
                <w:rFonts w:ascii="Georgia" w:eastAsia="Georgia" w:hAnsi="Georgia" w:cs="Georgia"/>
                <w:color w:val="0563C1"/>
                <w:u w:val="single" w:color="0563C1"/>
              </w:rPr>
              <w:t>heather.davison@indianhills.edu</w:t>
            </w:r>
            <w:r>
              <w:rPr>
                <w:rFonts w:ascii="Georgia" w:eastAsia="Georgia" w:hAnsi="Georgia" w:cs="Georgia"/>
              </w:rPr>
              <w:t xml:space="preserve">). </w:t>
            </w:r>
          </w:p>
          <w:p w14:paraId="3F7E2011" w14:textId="77777777" w:rsidR="00E75DDD" w:rsidRDefault="00E75DDD" w:rsidP="00E75DDD">
            <w:pPr>
              <w:ind w:right="58"/>
              <w:rPr>
                <w:rFonts w:ascii="Georgia" w:eastAsia="Georgia" w:hAnsi="Georgia" w:cs="Georgia"/>
              </w:rPr>
            </w:pPr>
            <w:r>
              <w:rPr>
                <w:rFonts w:ascii="Georgia" w:eastAsia="Georgia" w:hAnsi="Georgia" w:cs="Georgia"/>
              </w:rPr>
              <w:t xml:space="preserve">Non-students will be contacted via email about registration/payment instructions (if they have indicated interest for the class via the Diversity Conference online registration form). </w:t>
            </w:r>
          </w:p>
          <w:p w14:paraId="64A10869" w14:textId="77777777" w:rsidR="00E75DDD" w:rsidRDefault="00E75DDD" w:rsidP="00ED1B53">
            <w:pPr>
              <w:rPr>
                <w:rFonts w:ascii="Georgia" w:eastAsia="Georgia" w:hAnsi="Georgia" w:cs="Georgia"/>
                <w:b/>
              </w:rPr>
            </w:pPr>
          </w:p>
          <w:p w14:paraId="10CC94FD" w14:textId="77777777" w:rsidR="00ED1B53" w:rsidRDefault="00ED1B53" w:rsidP="00ED1B53">
            <w:r>
              <w:rPr>
                <w:rFonts w:ascii="Georgia" w:eastAsia="Georgia" w:hAnsi="Georgia" w:cs="Georgia"/>
                <w:b/>
              </w:rPr>
              <w:t xml:space="preserve">Course Description: </w:t>
            </w:r>
          </w:p>
          <w:p w14:paraId="137C7685" w14:textId="77777777" w:rsidR="00ED1B53" w:rsidRDefault="00ED1B53" w:rsidP="00ED1B53">
            <w:pPr>
              <w:spacing w:after="2" w:line="237" w:lineRule="auto"/>
              <w:ind w:right="449"/>
            </w:pPr>
            <w:r>
              <w:rPr>
                <w:rFonts w:ascii="Georgia" w:eastAsia="Georgia" w:hAnsi="Georgia" w:cs="Georgia"/>
              </w:rPr>
              <w:t>This course is designed to increase students’ awareness and knowledge of the diversity around them.  Students will attend at least six hours of approved diversity events.</w:t>
            </w:r>
            <w:r w:rsidR="00DB4B6C">
              <w:rPr>
                <w:rFonts w:ascii="Georgia" w:eastAsia="Georgia" w:hAnsi="Georgia" w:cs="Georgia"/>
              </w:rPr>
              <w:t xml:space="preserve"> </w:t>
            </w:r>
            <w:r>
              <w:rPr>
                <w:rFonts w:ascii="Georgia" w:eastAsia="Georgia" w:hAnsi="Georgia" w:cs="Georgia"/>
              </w:rPr>
              <w:t xml:space="preserve">Class discussions and assignments will be related to the experiences of each student. </w:t>
            </w:r>
          </w:p>
          <w:p w14:paraId="28DB802B" w14:textId="77777777" w:rsidR="00ED1B53" w:rsidRDefault="00ED1B53" w:rsidP="00ED1B53">
            <w:pPr>
              <w:spacing w:after="156"/>
              <w:rPr>
                <w:rFonts w:ascii="Georgia" w:eastAsia="Georgia" w:hAnsi="Georgia" w:cs="Georgia"/>
              </w:rPr>
            </w:pPr>
            <w:r>
              <w:rPr>
                <w:rFonts w:ascii="Georgia" w:eastAsia="Georgia" w:hAnsi="Georgia" w:cs="Georgia"/>
              </w:rPr>
              <w:t xml:space="preserve"> </w:t>
            </w:r>
          </w:p>
          <w:p w14:paraId="07D0BFC6" w14:textId="77777777" w:rsidR="00E75DDD" w:rsidRPr="00E53084" w:rsidRDefault="00E75DDD" w:rsidP="00E75DDD">
            <w:pPr>
              <w:rPr>
                <w:rFonts w:ascii="Georgia" w:hAnsi="Georgia"/>
                <w:sz w:val="23"/>
                <w:szCs w:val="23"/>
              </w:rPr>
            </w:pPr>
            <w:r w:rsidRPr="00E53084">
              <w:rPr>
                <w:rFonts w:ascii="Georgia" w:hAnsi="Georgia"/>
                <w:b/>
                <w:sz w:val="23"/>
                <w:szCs w:val="23"/>
              </w:rPr>
              <w:t>Credit Hours</w:t>
            </w:r>
            <w:r w:rsidRPr="00E53084">
              <w:rPr>
                <w:rFonts w:ascii="Georgia" w:hAnsi="Georgia"/>
                <w:sz w:val="23"/>
                <w:szCs w:val="23"/>
              </w:rPr>
              <w:t xml:space="preserve">: </w:t>
            </w:r>
            <w:r>
              <w:rPr>
                <w:rFonts w:ascii="Georgia" w:hAnsi="Georgia"/>
                <w:sz w:val="23"/>
                <w:szCs w:val="23"/>
              </w:rPr>
              <w:t>1</w:t>
            </w:r>
          </w:p>
          <w:p w14:paraId="6E59D3B6" w14:textId="77777777" w:rsidR="00E75DDD" w:rsidRPr="00E53084" w:rsidRDefault="00E75DDD" w:rsidP="00E75DDD">
            <w:pPr>
              <w:rPr>
                <w:rFonts w:ascii="Georgia" w:hAnsi="Georgia"/>
                <w:sz w:val="23"/>
                <w:szCs w:val="23"/>
              </w:rPr>
            </w:pPr>
            <w:r w:rsidRPr="00E53084">
              <w:rPr>
                <w:rFonts w:ascii="Georgia" w:hAnsi="Georgia"/>
                <w:b/>
                <w:sz w:val="23"/>
                <w:szCs w:val="23"/>
              </w:rPr>
              <w:t>Prerequisites:</w:t>
            </w:r>
            <w:r w:rsidRPr="00E53084">
              <w:rPr>
                <w:rFonts w:ascii="Georgia" w:hAnsi="Georgia"/>
                <w:sz w:val="23"/>
                <w:szCs w:val="23"/>
              </w:rPr>
              <w:t xml:space="preserve"> None</w:t>
            </w:r>
          </w:p>
          <w:p w14:paraId="071BE395" w14:textId="77777777" w:rsidR="00E75DDD" w:rsidRDefault="00E75DDD" w:rsidP="00ED1B53">
            <w:pPr>
              <w:spacing w:after="156"/>
            </w:pPr>
          </w:p>
          <w:p w14:paraId="53F68559" w14:textId="77777777" w:rsidR="00E75DDD" w:rsidRPr="00E75DDD" w:rsidRDefault="00E75DDD" w:rsidP="00ED1B53">
            <w:pPr>
              <w:spacing w:after="28"/>
              <w:rPr>
                <w:rFonts w:ascii="Georgia" w:eastAsia="Georgia" w:hAnsi="Georgia" w:cs="Georgia"/>
                <w:b/>
                <w:u w:val="single" w:color="000000"/>
              </w:rPr>
            </w:pPr>
            <w:r w:rsidRPr="00E75DDD">
              <w:rPr>
                <w:rFonts w:ascii="Georgia" w:eastAsia="Georgia" w:hAnsi="Georgia" w:cs="Georgia"/>
                <w:b/>
                <w:u w:val="single" w:color="000000"/>
              </w:rPr>
              <w:t xml:space="preserve">Course Goals: </w:t>
            </w:r>
          </w:p>
          <w:p w14:paraId="33668658" w14:textId="77777777" w:rsidR="00ED1B53" w:rsidRDefault="00ED1B53" w:rsidP="00ED1B53">
            <w:pPr>
              <w:spacing w:after="28"/>
            </w:pPr>
            <w:r>
              <w:rPr>
                <w:rFonts w:ascii="Georgia" w:eastAsia="Georgia" w:hAnsi="Georgia" w:cs="Georgia"/>
                <w:u w:val="single" w:color="000000"/>
              </w:rPr>
              <w:t>The student will complete the following</w:t>
            </w:r>
            <w:r>
              <w:rPr>
                <w:rFonts w:ascii="Georgia" w:eastAsia="Georgia" w:hAnsi="Georgia" w:cs="Georgia"/>
              </w:rPr>
              <w:t xml:space="preserve">: </w:t>
            </w:r>
          </w:p>
          <w:p w14:paraId="7F3C9DBB" w14:textId="77777777" w:rsidR="00ED1B53" w:rsidRDefault="00ED1B53" w:rsidP="00ED1B53">
            <w:pPr>
              <w:numPr>
                <w:ilvl w:val="0"/>
                <w:numId w:val="1"/>
              </w:numPr>
              <w:spacing w:after="47" w:line="242" w:lineRule="auto"/>
              <w:ind w:right="323" w:hanging="360"/>
            </w:pPr>
            <w:r>
              <w:rPr>
                <w:rFonts w:ascii="Georgia" w:eastAsia="Georgia" w:hAnsi="Georgia" w:cs="Georgia"/>
              </w:rPr>
              <w:t xml:space="preserve">Attend at least six hours of diversity experiences, lectures, or events such as the Diversity Conference. </w:t>
            </w:r>
          </w:p>
          <w:p w14:paraId="537BFEE0" w14:textId="77777777" w:rsidR="00ED1B53" w:rsidRDefault="00ED1B53" w:rsidP="00ED1B53">
            <w:pPr>
              <w:numPr>
                <w:ilvl w:val="0"/>
                <w:numId w:val="1"/>
              </w:numPr>
              <w:spacing w:after="49" w:line="242" w:lineRule="auto"/>
              <w:ind w:right="323" w:hanging="360"/>
            </w:pPr>
            <w:r>
              <w:rPr>
                <w:rFonts w:ascii="Georgia" w:eastAsia="Georgia" w:hAnsi="Georgia" w:cs="Georgia"/>
              </w:rPr>
              <w:t xml:space="preserve">While attending the events, the student will exhibit behavior and etiquette that demonstrates cultural sensitivity and respect. </w:t>
            </w:r>
          </w:p>
          <w:p w14:paraId="56EDBF99" w14:textId="77777777" w:rsidR="00ED1B53" w:rsidRDefault="00ED1B53" w:rsidP="00ED1B53">
            <w:pPr>
              <w:numPr>
                <w:ilvl w:val="0"/>
                <w:numId w:val="1"/>
              </w:numPr>
              <w:spacing w:after="47" w:line="242" w:lineRule="auto"/>
              <w:ind w:right="323" w:hanging="360"/>
            </w:pPr>
            <w:r>
              <w:rPr>
                <w:rFonts w:ascii="Georgia" w:eastAsia="Georgia" w:hAnsi="Georgia" w:cs="Georgia"/>
              </w:rPr>
              <w:t xml:space="preserve">Participate in online discussions explaining the various experiences the student had and how they are relevant to diversity and culture. </w:t>
            </w:r>
          </w:p>
          <w:p w14:paraId="79DC43D2" w14:textId="77777777" w:rsidR="00ED1B53" w:rsidRDefault="00ED1B53" w:rsidP="00ED1B53">
            <w:pPr>
              <w:numPr>
                <w:ilvl w:val="0"/>
                <w:numId w:val="1"/>
              </w:numPr>
              <w:spacing w:after="47" w:line="242" w:lineRule="auto"/>
              <w:ind w:right="323" w:hanging="360"/>
            </w:pPr>
            <w:r>
              <w:rPr>
                <w:rFonts w:ascii="Georgia" w:eastAsia="Georgia" w:hAnsi="Georgia" w:cs="Georgia"/>
              </w:rPr>
              <w:t xml:space="preserve">Participate in online discussions identifying the challenges various groups experience in diverse cultures. </w:t>
            </w:r>
          </w:p>
          <w:p w14:paraId="1222B711" w14:textId="77777777" w:rsidR="00ED1B53" w:rsidRDefault="00ED1B53" w:rsidP="00ED1B53">
            <w:pPr>
              <w:numPr>
                <w:ilvl w:val="0"/>
                <w:numId w:val="1"/>
              </w:numPr>
              <w:spacing w:after="44" w:line="244" w:lineRule="auto"/>
              <w:ind w:right="323" w:hanging="360"/>
            </w:pPr>
            <w:r>
              <w:rPr>
                <w:rFonts w:ascii="Georgia" w:eastAsia="Georgia" w:hAnsi="Georgia" w:cs="Georgia"/>
              </w:rPr>
              <w:t xml:space="preserve">Participate in online discussions explaining the different ways people have worked to overcome the challenges they have experienced in diverse cultures. </w:t>
            </w:r>
          </w:p>
          <w:p w14:paraId="58D5D0AE" w14:textId="77777777" w:rsidR="00ED1B53" w:rsidRDefault="00ED1B53" w:rsidP="00ED1B53">
            <w:pPr>
              <w:numPr>
                <w:ilvl w:val="0"/>
                <w:numId w:val="1"/>
              </w:numPr>
              <w:spacing w:after="47" w:line="242" w:lineRule="auto"/>
              <w:ind w:right="323" w:hanging="360"/>
            </w:pPr>
            <w:r>
              <w:rPr>
                <w:rFonts w:ascii="Georgia" w:eastAsia="Georgia" w:hAnsi="Georgia" w:cs="Georgia"/>
              </w:rPr>
              <w:lastRenderedPageBreak/>
              <w:t xml:space="preserve">Learn about the various resources available in the area to help people overcome the challenges they have experienced. </w:t>
            </w:r>
          </w:p>
          <w:p w14:paraId="1DB38452" w14:textId="77777777" w:rsidR="00ED1B53" w:rsidRDefault="00ED1B53" w:rsidP="00ED1B53">
            <w:pPr>
              <w:numPr>
                <w:ilvl w:val="0"/>
                <w:numId w:val="1"/>
              </w:numPr>
              <w:spacing w:after="44" w:line="244" w:lineRule="auto"/>
              <w:ind w:right="323" w:hanging="360"/>
            </w:pPr>
            <w:r>
              <w:rPr>
                <w:rFonts w:ascii="Georgia" w:eastAsia="Georgia" w:hAnsi="Georgia" w:cs="Georgia"/>
              </w:rPr>
              <w:t xml:space="preserve">Interview someone at one of the resources available and learn more about the services offered. </w:t>
            </w:r>
          </w:p>
          <w:p w14:paraId="0AE800DA" w14:textId="77777777" w:rsidR="00ED1B53" w:rsidRDefault="00ED1B53" w:rsidP="00ED1B53">
            <w:pPr>
              <w:numPr>
                <w:ilvl w:val="0"/>
                <w:numId w:val="1"/>
              </w:numPr>
              <w:spacing w:line="239" w:lineRule="auto"/>
              <w:ind w:right="323" w:hanging="360"/>
            </w:pPr>
            <w:r>
              <w:rPr>
                <w:rFonts w:ascii="Georgia" w:eastAsia="Georgia" w:hAnsi="Georgia" w:cs="Georgia"/>
              </w:rPr>
              <w:t xml:space="preserve">Submit a final paper relating the challenges people face and how they have overcome them or are working to overcome them and then reacting to how this impacts the student’s own life </w:t>
            </w:r>
          </w:p>
          <w:p w14:paraId="0175747B" w14:textId="77777777" w:rsidR="008545A3" w:rsidRDefault="008545A3" w:rsidP="00E75DDD">
            <w:pPr>
              <w:spacing w:after="156"/>
              <w:rPr>
                <w:rFonts w:ascii="Georgia" w:hAnsi="Georgia"/>
                <w:b/>
                <w:shd w:val="clear" w:color="auto" w:fill="FFFFFF"/>
              </w:rPr>
            </w:pPr>
          </w:p>
          <w:p w14:paraId="12023887" w14:textId="77777777" w:rsidR="006B6EAF" w:rsidRPr="00E75DDD" w:rsidRDefault="006B6EAF" w:rsidP="00E75DDD">
            <w:pPr>
              <w:spacing w:after="156"/>
            </w:pPr>
            <w:r w:rsidRPr="008D4B37">
              <w:rPr>
                <w:rFonts w:ascii="Georgia" w:hAnsi="Georgia"/>
                <w:b/>
                <w:shd w:val="clear" w:color="auto" w:fill="FFFFFF"/>
              </w:rPr>
              <w:t>Non-Discrimination Policy</w:t>
            </w:r>
          </w:p>
          <w:p w14:paraId="7A3F3C1A" w14:textId="77777777" w:rsidR="006B6EAF" w:rsidRPr="008D4B37" w:rsidRDefault="006B6EAF" w:rsidP="008D4B37">
            <w:pPr>
              <w:rPr>
                <w:rFonts w:ascii="Georgia" w:hAnsi="Georgia"/>
                <w:shd w:val="clear" w:color="auto" w:fill="FFFFFF"/>
              </w:rPr>
            </w:pPr>
            <w:r w:rsidRPr="008D4B37">
              <w:rPr>
                <w:rFonts w:ascii="Georgia" w:hAnsi="Georgia"/>
                <w:shd w:val="clear" w:color="auto" w:fill="FFFFFF"/>
              </w:rPr>
              <w:t xml:space="preserve">It is the policy of the Indian Hills Community College not to discriminate on the basis of race, creed, color, sexual orientation, gender identity, national origin, sex, disability, religion, age, political party affiliation, or actual or potential parental, family or marital status in its programs, activities, or employment practices as required by the Iowa Code sections 216.9 and 256.10(2), Titles VI and VII of the Civil Rights Act of 1964 (42 U.S.C. § 2000d and 2000e), the Equal Pay Act of 1973 (29 U.S.C. § 206, et seq.), Title IX (Educational Amendments, 20 U.S.C.§§ 1681 – 1688), Section 504 (Rehabilitation Act of 1973, 29 U.S.C. § 794), and the Americans with Disabilities Act (42 U.S.C. § 12101, et seq.). </w:t>
            </w:r>
            <w:r w:rsidRPr="008D4B37">
              <w:rPr>
                <w:rFonts w:ascii="Georgia" w:hAnsi="Georgia"/>
              </w:rPr>
              <w:t xml:space="preserve">If you have questions or complaints related to compliance with this policy, please contact Associate Dean, Student Development, 525 Grandview Ave, Ottumwa, IA 52501, (641) 683-5155, </w:t>
            </w:r>
            <w:hyperlink r:id="rId11" w:tgtFrame="_blank" w:history="1">
              <w:r w:rsidRPr="008D4B37">
                <w:rPr>
                  <w:rStyle w:val="Hyperlink"/>
                  <w:rFonts w:ascii="Georgia" w:hAnsi="Georgia"/>
                </w:rPr>
                <w:t>equity@indianhills.edu</w:t>
              </w:r>
            </w:hyperlink>
            <w:r w:rsidRPr="008D4B37">
              <w:rPr>
                <w:rFonts w:ascii="Georgia" w:hAnsi="Georgia"/>
              </w:rPr>
              <w:t xml:space="preserve"> (students, faculty and staff); Executive Dean, Centerville Campus and Learning Services, 683-5174, </w:t>
            </w:r>
            <w:hyperlink r:id="rId12" w:tgtFrame="_blank" w:history="1">
              <w:r w:rsidRPr="008D4B37">
                <w:rPr>
                  <w:rStyle w:val="Hyperlink"/>
                  <w:rFonts w:ascii="Georgia" w:hAnsi="Georgia"/>
                </w:rPr>
                <w:t>learningservicesequity@indianhills.edu</w:t>
              </w:r>
            </w:hyperlink>
            <w:r w:rsidRPr="008D4B37">
              <w:rPr>
                <w:rFonts w:ascii="Georgia" w:hAnsi="Georgia"/>
              </w:rPr>
              <w:t xml:space="preserve"> (students with disabilities); U.S. Department of Education, Citigroup Center, 500 W. Madison, Suite 1475, Chicago, IL 60661-4544, phone number (312) 730-1560, fax (312) 730- 1576, </w:t>
            </w:r>
            <w:r w:rsidRPr="008D4B37">
              <w:rPr>
                <w:rFonts w:ascii="Georgia" w:hAnsi="Georgia"/>
                <w:shd w:val="clear" w:color="auto" w:fill="FFFFFF"/>
              </w:rPr>
              <w:t xml:space="preserve">TDD number: 877-521-2172, email: </w:t>
            </w:r>
            <w:hyperlink r:id="rId13" w:tgtFrame="_blank" w:history="1">
              <w:r w:rsidRPr="008D4B37">
                <w:rPr>
                  <w:rStyle w:val="Hyperlink"/>
                  <w:rFonts w:ascii="Georgia" w:hAnsi="Georgia"/>
                  <w:color w:val="265199"/>
                  <w:bdr w:val="none" w:sz="0" w:space="0" w:color="auto" w:frame="1"/>
                  <w:shd w:val="clear" w:color="auto" w:fill="FFFFFF"/>
                </w:rPr>
                <w:t>OCR.Chicago@ed.gov</w:t>
              </w:r>
            </w:hyperlink>
            <w:r w:rsidRPr="008D4B37">
              <w:rPr>
                <w:rFonts w:ascii="Georgia" w:hAnsi="Georgia"/>
                <w:shd w:val="clear" w:color="auto" w:fill="FFFFFF"/>
              </w:rPr>
              <w:t>.</w:t>
            </w:r>
          </w:p>
          <w:p w14:paraId="66F1AB77" w14:textId="77777777" w:rsidR="008D4B37" w:rsidRPr="008D4B37" w:rsidRDefault="008D4B37" w:rsidP="008D4B37">
            <w:pPr>
              <w:rPr>
                <w:rFonts w:ascii="Georgia" w:hAnsi="Georgia"/>
              </w:rPr>
            </w:pPr>
          </w:p>
          <w:p w14:paraId="604BD9C2" w14:textId="77777777" w:rsidR="006B6EAF" w:rsidRPr="008D4B37" w:rsidRDefault="006B6EAF" w:rsidP="008D4B37">
            <w:pPr>
              <w:rPr>
                <w:rFonts w:ascii="Georgia" w:hAnsi="Georgia"/>
                <w:b/>
              </w:rPr>
            </w:pPr>
            <w:r w:rsidRPr="008D4B37">
              <w:rPr>
                <w:rFonts w:ascii="Georgia" w:hAnsi="Georgia"/>
                <w:b/>
              </w:rPr>
              <w:t>Disability Services/Accommodations</w:t>
            </w:r>
          </w:p>
          <w:p w14:paraId="58EDC609" w14:textId="77777777" w:rsidR="006B6EAF" w:rsidRPr="008545A3" w:rsidRDefault="006B6EAF" w:rsidP="008545A3">
            <w:pPr>
              <w:rPr>
                <w:rFonts w:ascii="Georgia" w:hAnsi="Georgia"/>
              </w:rPr>
            </w:pPr>
            <w:r w:rsidRPr="008D4B37">
              <w:rPr>
                <w:rFonts w:ascii="Georgia" w:hAnsi="Georgia"/>
              </w:rPr>
              <w:t xml:space="preserve">Individuals with disabilities who require accommodations or special services should contact IHCC Disability Services for assistance. Services are available to students who need classroom accommodations, interpreters, and/or specialized equipment. Students enrolling in credit programs should make their requests for accommodations at the time they are applying for admission and preferably, no later than six weeks prior to the beginning of each academic term. All student requests are dealt with in a confidential manner. Students should contact the Ottumwa Disabilities Center by calling 641-683-5749. Centerville students should contact the Academic SUCCESS Center at 641-856-2143, ext. 2214 or email </w:t>
            </w:r>
            <w:hyperlink r:id="rId14" w:tgtFrame="_blank" w:history="1">
              <w:r w:rsidRPr="008D4B37">
                <w:rPr>
                  <w:rStyle w:val="Hyperlink"/>
                  <w:rFonts w:ascii="Georgia" w:hAnsi="Georgia"/>
                </w:rPr>
                <w:t>disabilityservices@indianhills.edu</w:t>
              </w:r>
            </w:hyperlink>
          </w:p>
        </w:tc>
      </w:tr>
    </w:tbl>
    <w:p w14:paraId="23FD3196" w14:textId="77777777" w:rsidR="00E60980" w:rsidRDefault="00E60980" w:rsidP="008545A3"/>
    <w:sectPr w:rsidR="00E60980">
      <w:pgSz w:w="12240" w:h="15840"/>
      <w:pgMar w:top="502" w:right="1440" w:bottom="5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34FE1"/>
    <w:multiLevelType w:val="hybridMultilevel"/>
    <w:tmpl w:val="4B185944"/>
    <w:lvl w:ilvl="0" w:tplc="FAFE6F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6A524">
      <w:start w:val="1"/>
      <w:numFmt w:val="bullet"/>
      <w:lvlText w:val="o"/>
      <w:lvlJc w:val="left"/>
      <w:pPr>
        <w:ind w:left="2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7CCC86">
      <w:start w:val="1"/>
      <w:numFmt w:val="bullet"/>
      <w:lvlText w:val="▪"/>
      <w:lvlJc w:val="left"/>
      <w:pPr>
        <w:ind w:left="3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EFCAC">
      <w:start w:val="1"/>
      <w:numFmt w:val="bullet"/>
      <w:lvlText w:val="•"/>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D6703C">
      <w:start w:val="1"/>
      <w:numFmt w:val="bullet"/>
      <w:lvlText w:val="o"/>
      <w:lvlJc w:val="left"/>
      <w:pPr>
        <w:ind w:left="4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D23C4A">
      <w:start w:val="1"/>
      <w:numFmt w:val="bullet"/>
      <w:lvlText w:val="▪"/>
      <w:lvlJc w:val="left"/>
      <w:pPr>
        <w:ind w:left="5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C0DF14">
      <w:start w:val="1"/>
      <w:numFmt w:val="bullet"/>
      <w:lvlText w:val="•"/>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D6AFC2">
      <w:start w:val="1"/>
      <w:numFmt w:val="bullet"/>
      <w:lvlText w:val="o"/>
      <w:lvlJc w:val="left"/>
      <w:pPr>
        <w:ind w:left="6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B465EE">
      <w:start w:val="1"/>
      <w:numFmt w:val="bullet"/>
      <w:lvlText w:val="▪"/>
      <w:lvlJc w:val="left"/>
      <w:pPr>
        <w:ind w:left="7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28"/>
    <w:rsid w:val="000A3741"/>
    <w:rsid w:val="00336B39"/>
    <w:rsid w:val="0042228F"/>
    <w:rsid w:val="004C1E77"/>
    <w:rsid w:val="004F1A79"/>
    <w:rsid w:val="00536C28"/>
    <w:rsid w:val="005E475E"/>
    <w:rsid w:val="006B6EAF"/>
    <w:rsid w:val="008545A3"/>
    <w:rsid w:val="008D4B37"/>
    <w:rsid w:val="0097430D"/>
    <w:rsid w:val="009C44CF"/>
    <w:rsid w:val="00B21756"/>
    <w:rsid w:val="00BB356E"/>
    <w:rsid w:val="00D274E5"/>
    <w:rsid w:val="00DB4B6C"/>
    <w:rsid w:val="00E60980"/>
    <w:rsid w:val="00E75DDD"/>
    <w:rsid w:val="00EA6426"/>
    <w:rsid w:val="00ED1B53"/>
    <w:rsid w:val="00FE46B6"/>
    <w:rsid w:val="00FE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E01A"/>
  <w15:docId w15:val="{558C865B-BE23-4EF7-98FF-3C59619C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xmsonospacing">
    <w:name w:val="x_msonospacing"/>
    <w:basedOn w:val="Normal"/>
    <w:rsid w:val="006B6EA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msonormal">
    <w:name w:val="x_msonormal"/>
    <w:basedOn w:val="Normal"/>
    <w:rsid w:val="006B6EA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6B6EAF"/>
    <w:rPr>
      <w:color w:val="0000FF"/>
      <w:u w:val="single"/>
    </w:rPr>
  </w:style>
  <w:style w:type="paragraph" w:styleId="NoSpacing">
    <w:name w:val="No Spacing"/>
    <w:uiPriority w:val="1"/>
    <w:qFormat/>
    <w:rsid w:val="004C1E7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dianhills.edu/diversity" TargetMode="External"/><Relationship Id="rId13" Type="http://schemas.openxmlformats.org/officeDocument/2006/relationships/hyperlink" Target="mailto:OCR.Chicago@ed.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arningservicesequity@indianhills.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quity@indianhills.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ather.davison@indianhills.edu" TargetMode="External"/><Relationship Id="rId4" Type="http://schemas.openxmlformats.org/officeDocument/2006/relationships/numbering" Target="numbering.xml"/><Relationship Id="rId9" Type="http://schemas.openxmlformats.org/officeDocument/2006/relationships/hyperlink" Target="http://www.indianhills.edu/diversity" TargetMode="External"/><Relationship Id="rId14" Type="http://schemas.openxmlformats.org/officeDocument/2006/relationships/hyperlink" Target="mailto:disabilityservices@indianhil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287AE24EBDA4E956E8B53AF4D9733" ma:contentTypeVersion="13" ma:contentTypeDescription="Create a new document." ma:contentTypeScope="" ma:versionID="cf2b1332fcd0080904a8746eadb12bc1">
  <xsd:schema xmlns:xsd="http://www.w3.org/2001/XMLSchema" xmlns:xs="http://www.w3.org/2001/XMLSchema" xmlns:p="http://schemas.microsoft.com/office/2006/metadata/properties" xmlns:ns3="18176077-29e0-4294-b1eb-ac5fb87c4d15" xmlns:ns4="21e4f1ba-885a-46d9-bf0c-c3a9ff0b908e" targetNamespace="http://schemas.microsoft.com/office/2006/metadata/properties" ma:root="true" ma:fieldsID="3fa0856feabeac6c7170b45c5fb236e3" ns3:_="" ns4:_="">
    <xsd:import namespace="18176077-29e0-4294-b1eb-ac5fb87c4d15"/>
    <xsd:import namespace="21e4f1ba-885a-46d9-bf0c-c3a9ff0b90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76077-29e0-4294-b1eb-ac5fb87c4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4f1ba-885a-46d9-bf0c-c3a9ff0b90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0CE71-6322-4150-B34E-2A61B8FDC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76077-29e0-4294-b1eb-ac5fb87c4d15"/>
    <ds:schemaRef ds:uri="21e4f1ba-885a-46d9-bf0c-c3a9ff0b9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127D0-1289-4F6D-9F5D-57EC99391D5C}">
  <ds:schemaRefs>
    <ds:schemaRef ds:uri="http://schemas.microsoft.com/sharepoint/v3/contenttype/forms"/>
  </ds:schemaRefs>
</ds:datastoreItem>
</file>

<file path=customXml/itemProps3.xml><?xml version="1.0" encoding="utf-8"?>
<ds:datastoreItem xmlns:ds="http://schemas.openxmlformats.org/officeDocument/2006/customXml" ds:itemID="{4CFB49F2-DF74-4D90-B096-4223507F313C}">
  <ds:schemaRef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18176077-29e0-4294-b1eb-ac5fb87c4d15"/>
    <ds:schemaRef ds:uri="http://schemas.openxmlformats.org/package/2006/metadata/core-properties"/>
    <ds:schemaRef ds:uri="21e4f1ba-885a-46d9-bf0c-c3a9ff0b908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William Penn University</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Seddon</dc:creator>
  <cp:keywords/>
  <cp:lastModifiedBy>Tiffany Anderson</cp:lastModifiedBy>
  <cp:revision>2</cp:revision>
  <cp:lastPrinted>2023-02-09T20:53:00Z</cp:lastPrinted>
  <dcterms:created xsi:type="dcterms:W3CDTF">2023-02-14T21:19:00Z</dcterms:created>
  <dcterms:modified xsi:type="dcterms:W3CDTF">2023-02-14T21:19:00Z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0x010100872287AE24EBDA4E956E8B53AF4D9733</vt:lpwstr>
  </property>
</Properties>
</file>